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42" w:rsidRPr="00FE1201" w:rsidRDefault="000056D1" w:rsidP="00DC1744">
      <w:pPr>
        <w:pStyle w:val="Default"/>
        <w:tabs>
          <w:tab w:val="left" w:pos="357"/>
        </w:tabs>
        <w:jc w:val="center"/>
        <w:rPr>
          <w:rFonts w:asciiTheme="minorHAnsi" w:eastAsia="Times New Roman" w:hAnsiTheme="minorHAnsi" w:cs="Times New Roman"/>
          <w:b/>
          <w:spacing w:val="30"/>
          <w:lang w:eastAsia="el-GR"/>
        </w:rPr>
      </w:pPr>
      <w:r w:rsidRPr="00FE1201">
        <w:rPr>
          <w:rFonts w:asciiTheme="minorHAnsi" w:eastAsia="Times New Roman" w:hAnsiTheme="minorHAnsi" w:cs="Times New Roman"/>
          <w:b/>
          <w:spacing w:val="30"/>
          <w:lang w:eastAsia="el-GR"/>
        </w:rPr>
        <w:t>Π</w:t>
      </w:r>
      <w:r w:rsidR="00DC1744" w:rsidRPr="00FE1201">
        <w:rPr>
          <w:rFonts w:asciiTheme="minorHAnsi" w:eastAsia="Times New Roman" w:hAnsiTheme="minorHAnsi" w:cs="Times New Roman"/>
          <w:b/>
          <w:spacing w:val="30"/>
          <w:lang w:eastAsia="el-GR"/>
        </w:rPr>
        <w:t>ΡΟΣΚΛΗΣΗ</w:t>
      </w:r>
    </w:p>
    <w:p w:rsidR="00A559DC" w:rsidRDefault="00A559DC" w:rsidP="00DC1744">
      <w:pPr>
        <w:pStyle w:val="Default"/>
        <w:tabs>
          <w:tab w:val="left" w:pos="357"/>
        </w:tabs>
        <w:jc w:val="center"/>
        <w:rPr>
          <w:rFonts w:asciiTheme="minorHAnsi" w:eastAsia="Times New Roman" w:hAnsiTheme="minorHAnsi" w:cs="Times New Roman"/>
          <w:sz w:val="22"/>
          <w:szCs w:val="22"/>
          <w:lang w:eastAsia="el-GR"/>
        </w:rPr>
      </w:pPr>
    </w:p>
    <w:p w:rsidR="00E749B7" w:rsidRPr="00503BA9" w:rsidRDefault="00C327F0" w:rsidP="00DC1744">
      <w:pPr>
        <w:pStyle w:val="Default"/>
        <w:tabs>
          <w:tab w:val="left" w:pos="357"/>
        </w:tabs>
        <w:jc w:val="center"/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υποβολής αιτήσεων χρηματοδότησης ερευνητικών έργων στη Δράση Εθνικής Εμβέλειας</w:t>
      </w:r>
    </w:p>
    <w:p w:rsidR="00E749B7" w:rsidRDefault="00E749B7" w:rsidP="00FE1201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</w:pPr>
    </w:p>
    <w:p w:rsidR="00364142" w:rsidRPr="00503BA9" w:rsidRDefault="00364142" w:rsidP="00FE1201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</w:pPr>
    </w:p>
    <w:p w:rsidR="00C327F0" w:rsidRPr="00503BA9" w:rsidRDefault="00C327F0" w:rsidP="00DC1744">
      <w:pPr>
        <w:pStyle w:val="Default"/>
        <w:tabs>
          <w:tab w:val="left" w:pos="357"/>
        </w:tabs>
        <w:jc w:val="center"/>
        <w:rPr>
          <w:rFonts w:asciiTheme="minorHAnsi" w:eastAsia="Times New Roman" w:hAnsiTheme="minorHAnsi" w:cs="Times New Roman"/>
          <w:b/>
          <w:lang w:eastAsia="el-GR"/>
        </w:rPr>
      </w:pPr>
      <w:r w:rsidRPr="00503BA9">
        <w:rPr>
          <w:rFonts w:asciiTheme="minorHAnsi" w:eastAsia="Times New Roman" w:hAnsiTheme="minorHAnsi" w:cs="Times New Roman"/>
          <w:b/>
          <w:lang w:eastAsia="el-GR"/>
        </w:rPr>
        <w:t>«</w:t>
      </w:r>
      <w:r w:rsidRPr="00503BA9">
        <w:rPr>
          <w:rFonts w:asciiTheme="minorHAnsi" w:eastAsia="Times New Roman" w:hAnsiTheme="minorHAnsi" w:cs="Times New Roman"/>
          <w:b/>
          <w:i/>
          <w:lang w:eastAsia="el-GR"/>
        </w:rPr>
        <w:t>Διμερή</w:t>
      </w:r>
      <w:r w:rsidR="00C21A31" w:rsidRPr="00503BA9">
        <w:rPr>
          <w:rFonts w:asciiTheme="minorHAnsi" w:eastAsia="Times New Roman" w:hAnsiTheme="minorHAnsi" w:cs="Times New Roman"/>
          <w:b/>
          <w:i/>
          <w:lang w:eastAsia="el-GR"/>
        </w:rPr>
        <w:t>ς</w:t>
      </w:r>
      <w:r w:rsidRPr="00503BA9">
        <w:rPr>
          <w:rFonts w:asciiTheme="minorHAnsi" w:eastAsia="Times New Roman" w:hAnsiTheme="minorHAnsi" w:cs="Times New Roman"/>
          <w:b/>
          <w:i/>
          <w:lang w:eastAsia="el-GR"/>
        </w:rPr>
        <w:t xml:space="preserve"> και Πολυμερή</w:t>
      </w:r>
      <w:r w:rsidR="00C21A31" w:rsidRPr="00503BA9">
        <w:rPr>
          <w:rFonts w:asciiTheme="minorHAnsi" w:eastAsia="Times New Roman" w:hAnsiTheme="minorHAnsi" w:cs="Times New Roman"/>
          <w:b/>
          <w:i/>
          <w:lang w:eastAsia="el-GR"/>
        </w:rPr>
        <w:t>ς</w:t>
      </w:r>
      <w:r w:rsidRPr="00503BA9">
        <w:rPr>
          <w:rFonts w:asciiTheme="minorHAnsi" w:eastAsia="Times New Roman" w:hAnsiTheme="minorHAnsi" w:cs="Times New Roman"/>
          <w:b/>
          <w:i/>
          <w:lang w:eastAsia="el-GR"/>
        </w:rPr>
        <w:t xml:space="preserve"> Ε&amp;Τ</w:t>
      </w:r>
      <w:r w:rsidR="00FD49AC" w:rsidRPr="00503BA9">
        <w:rPr>
          <w:rFonts w:asciiTheme="minorHAnsi" w:eastAsia="Times New Roman" w:hAnsiTheme="minorHAnsi" w:cs="Times New Roman"/>
          <w:b/>
          <w:i/>
          <w:lang w:eastAsia="el-GR"/>
        </w:rPr>
        <w:t xml:space="preserve"> Συνεργασία Ελλάδας-</w:t>
      </w:r>
      <w:r w:rsidR="006C563C">
        <w:rPr>
          <w:rFonts w:asciiTheme="minorHAnsi" w:eastAsia="Times New Roman" w:hAnsiTheme="minorHAnsi" w:cs="Times New Roman"/>
          <w:b/>
          <w:i/>
          <w:lang w:eastAsia="el-GR"/>
        </w:rPr>
        <w:t>Ισραήλ</w:t>
      </w:r>
      <w:r w:rsidR="00E749B7" w:rsidRPr="00503BA9">
        <w:rPr>
          <w:rFonts w:asciiTheme="minorHAnsi" w:eastAsia="Times New Roman" w:hAnsiTheme="minorHAnsi" w:cs="Times New Roman"/>
          <w:b/>
          <w:lang w:eastAsia="el-GR"/>
        </w:rPr>
        <w:t>»</w:t>
      </w:r>
    </w:p>
    <w:p w:rsidR="007E679B" w:rsidRPr="00503BA9" w:rsidRDefault="007E679B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</w:pPr>
    </w:p>
    <w:p w:rsidR="00E749B7" w:rsidRPr="00503BA9" w:rsidRDefault="00E749B7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</w:pPr>
    </w:p>
    <w:p w:rsidR="000056D1" w:rsidRPr="00503BA9" w:rsidRDefault="00576169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l-GR"/>
        </w:rPr>
        <w:tab/>
      </w:r>
      <w:r w:rsidR="00FD49AC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Η Γενική Γραμματεία Έρευνας &amp; Τεχνολογίας</w:t>
      </w:r>
      <w:r w:rsidR="00A0154D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(Γ.Γ.Ε.Τ.)</w:t>
      </w:r>
      <w:r w:rsidR="00FD49AC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του Υπουργείου Παιδείας, Έρευνας &amp; Θρησκευμάτων καλεί τους ενδιαφερόμενους να υποβάλουν τις προτάσεις τους.</w:t>
      </w:r>
      <w:r w:rsidR="00503BA9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Δικαιούχοι είναι </w:t>
      </w:r>
      <w:r w:rsidR="000056D1"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α)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ερευνητικοί οργανισμοί (Πανεπιστήμια &amp; Ερευνητικά Κέντρα), </w:t>
      </w:r>
      <w:r w:rsidR="000056D1"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β)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επιχειρήσεις και </w:t>
      </w:r>
      <w:r w:rsidR="000056D1"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γ)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λοιποί φορείς (δημόσιοι και άλλοι φορείς).</w:t>
      </w:r>
    </w:p>
    <w:p w:rsidR="003E75E4" w:rsidRPr="00503BA9" w:rsidRDefault="003E75E4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</w:p>
    <w:p w:rsidR="000056D1" w:rsidRPr="00503BA9" w:rsidRDefault="000056D1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Οι θεματικές προτεραιότητες της Δράσεις είναι οι εξής:</w:t>
      </w:r>
    </w:p>
    <w:p w:rsidR="003E75E4" w:rsidRPr="003E75E4" w:rsidRDefault="00FE1201" w:rsidP="00DC1744">
      <w:pPr>
        <w:numPr>
          <w:ilvl w:val="0"/>
          <w:numId w:val="9"/>
        </w:numPr>
        <w:tabs>
          <w:tab w:val="left" w:pos="357"/>
        </w:tabs>
        <w:ind w:left="0"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Αγροδιατροφή</w:t>
      </w:r>
    </w:p>
    <w:p w:rsidR="003E75E4" w:rsidRPr="003E75E4" w:rsidRDefault="006C563C" w:rsidP="00DC1744">
      <w:pPr>
        <w:numPr>
          <w:ilvl w:val="0"/>
          <w:numId w:val="9"/>
        </w:numPr>
        <w:tabs>
          <w:tab w:val="left" w:pos="357"/>
        </w:tabs>
        <w:ind w:left="0"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Βιοεπιστήμες</w:t>
      </w:r>
      <w:r w:rsidR="00FE1201">
        <w:rPr>
          <w:rFonts w:eastAsia="Times New Roman" w:cs="Times New Roman"/>
          <w:b/>
        </w:rPr>
        <w:t xml:space="preserve"> και Φάρμακα</w:t>
      </w:r>
    </w:p>
    <w:p w:rsidR="003E75E4" w:rsidRPr="003E75E4" w:rsidRDefault="00FE1201" w:rsidP="00DC1744">
      <w:pPr>
        <w:numPr>
          <w:ilvl w:val="0"/>
          <w:numId w:val="9"/>
        </w:numPr>
        <w:tabs>
          <w:tab w:val="left" w:pos="357"/>
        </w:tabs>
        <w:ind w:left="0"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Ενέργεια</w:t>
      </w:r>
    </w:p>
    <w:p w:rsidR="006C563C" w:rsidRPr="006C563C" w:rsidRDefault="006C563C" w:rsidP="00DC1744">
      <w:pPr>
        <w:numPr>
          <w:ilvl w:val="0"/>
          <w:numId w:val="9"/>
        </w:numPr>
        <w:tabs>
          <w:tab w:val="left" w:pos="357"/>
        </w:tabs>
        <w:ind w:left="0" w:firstLine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Περιβάλλον</w:t>
      </w:r>
      <w:r w:rsidR="00FE1201">
        <w:rPr>
          <w:rFonts w:eastAsia="Times New Roman" w:cs="Times New Roman"/>
          <w:b/>
        </w:rPr>
        <w:t>.</w:t>
      </w:r>
    </w:p>
    <w:p w:rsidR="000056D1" w:rsidRPr="00503BA9" w:rsidRDefault="000056D1" w:rsidP="00DC1744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</w:p>
    <w:p w:rsidR="005009F8" w:rsidRPr="00503BA9" w:rsidRDefault="005009F8" w:rsidP="00DC1744">
      <w:pPr>
        <w:pStyle w:val="Default"/>
        <w:numPr>
          <w:ilvl w:val="0"/>
          <w:numId w:val="3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Η Δράση χρηματοδοτείται από το Επιχειρησιακό</w:t>
      </w:r>
      <w:r w:rsidR="000338C5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Πρόγραμμα 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«Ανταγωνιστικότητα, Επιχειρηματικότητα και Και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νοτομία (ΕΠΑνΕΚ)» του ΕΣΠΑ 2014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–2020, στους Άξονες Προτεραιότητας 01 και 01Σ του ΕΠΑνΕΚ: «</w:t>
      </w:r>
      <w:r w:rsidRPr="00503BA9">
        <w:rPr>
          <w:rFonts w:asciiTheme="minorHAnsi" w:eastAsia="Times New Roman" w:hAnsiTheme="minorHAnsi" w:cs="Times New Roman"/>
          <w:i/>
          <w:sz w:val="22"/>
          <w:szCs w:val="22"/>
          <w:lang w:eastAsia="el-GR"/>
        </w:rPr>
        <w:t>Ανάπτυξη επιχειρηματικότητας με Τομεακές προτεραιότητες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», και συγκεκριμένα στο Θεματικό στόχο 01 – Επενδυτική Προτεραιότητα 1b και στον Ειδικό Στόχο: 1.1 «</w:t>
      </w:r>
      <w:r w:rsidRPr="00503BA9">
        <w:rPr>
          <w:rFonts w:asciiTheme="minorHAnsi" w:eastAsia="Times New Roman" w:hAnsiTheme="minorHAnsi" w:cs="Times New Roman"/>
          <w:i/>
          <w:sz w:val="22"/>
          <w:szCs w:val="22"/>
          <w:lang w:eastAsia="el-GR"/>
        </w:rPr>
        <w:t>Αύξηση επιχειρηματικών πρωτοβουλιών και συνεργασιών για την ανάπτυξη καινοτόμου επιχειρηματικότητας σύμφωνα με την εθνική στρατηγική έρευνας και καινοτομίας για έξυπνη εξειδίκευση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». </w:t>
      </w:r>
    </w:p>
    <w:p w:rsidR="0068128E" w:rsidRPr="00503BA9" w:rsidRDefault="0068128E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Ο προϋπολογισμός της Δημοσίας Δαπάνης της Δράσης Εθνικής Εμβέλειας «Διμερής και Π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ολυμερής Ε&amp;Τ Συνεργασία Ελλάδας</w:t>
      </w:r>
      <w:r w:rsidR="006C563C">
        <w:rPr>
          <w:rFonts w:asciiTheme="minorHAnsi" w:eastAsia="Times New Roman" w:hAnsiTheme="minorHAnsi" w:cs="Times New Roman"/>
          <w:sz w:val="22"/>
          <w:szCs w:val="22"/>
          <w:lang w:eastAsia="el-GR"/>
        </w:rPr>
        <w:t>-Ισραήλ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» ανέρχεται σε </w:t>
      </w:r>
      <w:r w:rsidR="006C563C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4.500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.000</w:t>
      </w:r>
      <w:r w:rsidR="000056D1"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 xml:space="preserve"> 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€,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συγχρηματοδοτείται από το Ευρωπαϊκό Ταμείο Περιφερειακής Ανάπτυξης (ΕΤΠΑ) και από Εθνικούς πόρους (Δημόσια Δαπάνη) και κατανέμεται στις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Περιφέρειες της χώρας ως εξής:</w:t>
      </w:r>
    </w:p>
    <w:p w:rsidR="00364142" w:rsidRPr="00503BA9" w:rsidRDefault="00364142" w:rsidP="00DC1744">
      <w:pPr>
        <w:pStyle w:val="Default"/>
        <w:tabs>
          <w:tab w:val="left" w:pos="357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3006"/>
        <w:gridCol w:w="3830"/>
        <w:gridCol w:w="1686"/>
      </w:tblGrid>
      <w:tr w:rsidR="0068128E" w:rsidRPr="00503BA9" w:rsidTr="00F65F39">
        <w:trPr>
          <w:trHeight w:val="67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ΠΙΝΑΚΑΣ 1</w:t>
            </w:r>
            <w:r w:rsidRPr="00503BA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ΚΑΤΑΝΟΜΗ ΔΗΜΟΣΙΑΣ ΔΑΠΑ</w:t>
            </w:r>
            <w:r w:rsidR="000056D1"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ΝΗΣ ΣΤΙΣ ΛΙΓΟΤΕΡΟ ΑΝΕΠΤΥΓΜΕΝΕΣ, </w:t>
            </w:r>
            <w:r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ΤΙΣ ΠΕΡΙΦΕΡΕΙΕΣ ΣΕ ΜΕΤΑΒΑΣΗ ΚΑΙ ΤΙΣ ΠΕΡΙΣΣΟΤΕΡΟ ΑΝΕΠΤΥΓΜΕΝ</w:t>
            </w:r>
            <w:r w:rsidR="000056D1"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ΕΣ </w:t>
            </w:r>
            <w:r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ΠΕΡΙΦΕΡΕΙΕΣ</w:t>
            </w:r>
          </w:p>
        </w:tc>
      </w:tr>
      <w:tr w:rsidR="00503BA9" w:rsidRPr="00503BA9" w:rsidTr="00F65F39">
        <w:trPr>
          <w:trHeight w:val="4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ΠΕΡΙΣΣΟΤΕΡΟ ΑΝΑΠΤΥΓΜΕΝΕΣ (Α.Π.: 1)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Αττική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63C" w:rsidRDefault="006C563C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25%</w:t>
            </w:r>
          </w:p>
          <w:p w:rsidR="0068128E" w:rsidRPr="00503BA9" w:rsidRDefault="006C563C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1.125.000 €</w:t>
            </w:r>
          </w:p>
        </w:tc>
      </w:tr>
      <w:tr w:rsidR="00503BA9" w:rsidRPr="00503BA9" w:rsidTr="00F65F39">
        <w:trPr>
          <w:trHeight w:val="6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ΠΕΡΙΦΕΡΕΙΕΣ ΜΕΤΑΒΑΣΗΣ</w:t>
            </w:r>
          </w:p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(Α.Π.: 1)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Δυτική</w:t>
            </w:r>
            <w:r w:rsidR="00503BA9" w:rsidRPr="00503B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03BA9">
              <w:rPr>
                <w:rFonts w:asciiTheme="minorHAnsi" w:hAnsiTheme="minorHAnsi"/>
                <w:sz w:val="22"/>
                <w:szCs w:val="22"/>
              </w:rPr>
              <w:t>Μακεδονία, Πελοπόννησος, Ιόνια Νησιά, Κρήτη, Β. Αιγαίο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3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15%</w:t>
            </w:r>
          </w:p>
          <w:p w:rsidR="0068128E" w:rsidRPr="00503BA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675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.000</w:t>
            </w:r>
            <w:r w:rsidR="00ED7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03BA9" w:rsidRPr="00503BA9" w:rsidTr="00F65F39">
        <w:trPr>
          <w:trHeight w:val="67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ΛΙΓΟΤΕΡΟ ΑΝΑΠΤΥΓΜΕΝΕΣ</w:t>
            </w:r>
          </w:p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(Α.Π.: 1)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Αν. Μακεδονία-Θράκη, Κεντρική Μακεδονία, Θεσσαλία, Ήπειρος, Δυτική Ελλάδα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3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55%</w:t>
            </w:r>
          </w:p>
          <w:p w:rsidR="0068128E" w:rsidRPr="00503BA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2.475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.000</w:t>
            </w:r>
            <w:r w:rsidR="00ED7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03BA9" w:rsidRPr="00503BA9" w:rsidTr="00F65F39">
        <w:trPr>
          <w:trHeight w:val="43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ΠΕΡΙΣΣΟΤΕΡΟ ΑΝΑΠΤΥΓΜΕΝΕΣ (Α.Π.: 1Σ)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Νότιο Αιγαίο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3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3,00%</w:t>
            </w:r>
          </w:p>
          <w:p w:rsidR="0068128E" w:rsidRPr="00503BA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135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.000</w:t>
            </w:r>
            <w:r w:rsidR="00ED7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03BA9" w:rsidRPr="00503BA9" w:rsidTr="00F65F39">
        <w:trPr>
          <w:trHeight w:val="43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ΠΕΡΙΦΕΡΕΙΕΣ ΜΕΤΑΒΑΣΗΣ</w:t>
            </w:r>
          </w:p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(Α.Π.: 1Σ)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sz w:val="22"/>
                <w:szCs w:val="22"/>
              </w:rPr>
              <w:t>Στερεά Ελλάδα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3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2%</w:t>
            </w:r>
          </w:p>
          <w:p w:rsidR="0068128E" w:rsidRPr="00503BA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0.000</w:t>
            </w:r>
            <w:r w:rsidR="00ED77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128E" w:rsidRPr="00503BA9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503BA9" w:rsidRPr="00503BA9" w:rsidTr="00F65F39">
        <w:trPr>
          <w:trHeight w:val="19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8E" w:rsidRPr="00503BA9" w:rsidRDefault="0068128E" w:rsidP="00F65F39">
            <w:pPr>
              <w:pStyle w:val="Default"/>
              <w:tabs>
                <w:tab w:val="left" w:pos="357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3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100%</w:t>
            </w:r>
          </w:p>
          <w:p w:rsidR="0068128E" w:rsidRPr="00503BA9" w:rsidRDefault="00F65F39" w:rsidP="00F65F39">
            <w:pPr>
              <w:pStyle w:val="Default"/>
              <w:tabs>
                <w:tab w:val="left" w:pos="35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4.5</w:t>
            </w:r>
            <w:r w:rsidR="0068128E"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00.000</w:t>
            </w:r>
            <w:r w:rsidR="00FE12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8128E" w:rsidRPr="00503BA9">
              <w:rPr>
                <w:rFonts w:asciiTheme="minorHAnsi" w:hAnsiTheme="minorHAnsi"/>
                <w:b/>
                <w:bCs/>
                <w:sz w:val="22"/>
                <w:szCs w:val="22"/>
              </w:rPr>
              <w:t>€</w:t>
            </w:r>
          </w:p>
        </w:tc>
      </w:tr>
    </w:tbl>
    <w:p w:rsidR="0068128E" w:rsidRPr="00503BA9" w:rsidRDefault="0068128E" w:rsidP="00DC1744">
      <w:pPr>
        <w:pStyle w:val="Default"/>
        <w:tabs>
          <w:tab w:val="left" w:pos="357"/>
        </w:tabs>
        <w:rPr>
          <w:rFonts w:asciiTheme="minorHAnsi" w:hAnsiTheme="minorHAnsi"/>
          <w:color w:val="auto"/>
          <w:sz w:val="22"/>
          <w:szCs w:val="22"/>
        </w:rPr>
      </w:pPr>
    </w:p>
    <w:p w:rsidR="0068128E" w:rsidRPr="00503BA9" w:rsidRDefault="0068128E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Στο πλαίσιο της Δράσης επιχορηγούνται δαπάνες εκτέλεσης ερευνητικών έργων και καινοτομίας σε θεματικές προτεραιότητες της Εθνικής Στρατηγικής Έξυπνης Εξειδίκευσης 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lastRenderedPageBreak/>
        <w:t>(RIS3) 2014-2020. Ο επιχορηγούμενος προϋπολογισμός ανά έργο</w:t>
      </w:r>
      <w:r w:rsidR="00443A49">
        <w:rPr>
          <w:rFonts w:asciiTheme="minorHAnsi" w:eastAsia="Times New Roman" w:hAnsiTheme="minorHAnsi" w:cs="Times New Roman"/>
          <w:sz w:val="22"/>
          <w:szCs w:val="22"/>
          <w:lang w:eastAsia="el-GR"/>
        </w:rPr>
        <w:t>, από την ελληνική πλευρά,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μπορεί να ανέλθει έως </w:t>
      </w:r>
      <w:r w:rsidR="00F65F3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40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0.000</w:t>
      </w:r>
      <w:r w:rsidR="000056D1"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 xml:space="preserve"> 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€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.</w:t>
      </w:r>
    </w:p>
    <w:p w:rsidR="0068128E" w:rsidRPr="00503BA9" w:rsidRDefault="0068128E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Η χρονική διάρκεια υλοποίησης των έργων των Διμερών και Πολ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υμερών Ε&amp;Τ Συνεργασιών Ελλάδας-</w:t>
      </w:r>
      <w:r w:rsidR="00F65F39">
        <w:rPr>
          <w:rFonts w:asciiTheme="minorHAnsi" w:eastAsia="Times New Roman" w:hAnsiTheme="minorHAnsi" w:cs="Times New Roman"/>
          <w:sz w:val="22"/>
          <w:szCs w:val="22"/>
          <w:lang w:eastAsia="el-GR"/>
        </w:rPr>
        <w:t>Ισραήλ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, ανάλογα με το έργο υλοποίησης, είναι έως 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τρία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(</w:t>
      </w:r>
      <w:r w:rsidRPr="00503BA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3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) έτη από την ημερομηνία της απόφασης ένταξης του έργου. Ως ημερομηνία έναρξης και επιλεξιμότητας δαπανών κάθε έργου ορίζεται η ημερομηνία ηλεκτρονικής υποβολής της πρότασης στην παρούσα Πρόσκληση.</w:t>
      </w:r>
    </w:p>
    <w:p w:rsidR="0068128E" w:rsidRPr="00FE1201" w:rsidRDefault="0068128E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>Η ημερομηνία έναρξης ηλεκτρονικής υποβολής των προτάσεων στο Πληροφοριακό Σύστημα Διαχείρισης Κρατικών Ενισχύσεων (</w:t>
      </w:r>
      <w:hyperlink r:id="rId5" w:history="1">
        <w:r w:rsidR="00FE1201" w:rsidRPr="00FE1201">
          <w:rPr>
            <w:rStyle w:val="-"/>
            <w:rFonts w:asciiTheme="minorHAnsi" w:eastAsia="Times New Roman" w:hAnsiTheme="minorHAnsi" w:cs="Times New Roman"/>
            <w:sz w:val="22"/>
            <w:szCs w:val="22"/>
            <w:lang w:eastAsia="el-GR"/>
          </w:rPr>
          <w:t>www.ependyseis.gr/mis</w:t>
        </w:r>
      </w:hyperlink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>)</w:t>
      </w:r>
      <w:r w:rsidR="00FE1201"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</w:t>
      </w:r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ορίζεται η </w:t>
      </w:r>
      <w:r w:rsidR="00F65F39"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16/01</w:t>
      </w:r>
      <w:r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/201</w:t>
      </w:r>
      <w:r w:rsidR="00F65F39"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7</w:t>
      </w:r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με καταληκτική ημερομηνία την </w:t>
      </w:r>
      <w:r w:rsidR="00F65F39"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16/04</w:t>
      </w:r>
      <w:r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/2017</w:t>
      </w:r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και ώρα </w:t>
      </w:r>
      <w:r w:rsidRPr="00FE1201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16:00</w:t>
      </w:r>
      <w:r w:rsidRPr="00FE1201">
        <w:rPr>
          <w:rFonts w:asciiTheme="minorHAnsi" w:eastAsia="Times New Roman" w:hAnsiTheme="minorHAnsi" w:cs="Times New Roman"/>
          <w:sz w:val="22"/>
          <w:szCs w:val="22"/>
          <w:lang w:eastAsia="el-GR"/>
        </w:rPr>
        <w:t>.</w:t>
      </w:r>
    </w:p>
    <w:p w:rsidR="0068128E" w:rsidRPr="00503BA9" w:rsidRDefault="0068128E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Επιτρέπεται η ακύρωση της ηλεκτρονικής αίτησης χρηματοδότησης της πρότασης από τον δικαιούχο υπό την προϋπόθεση να υποβληθεί αίτηση ακύρωσης εντός αποκλειστικής προθεσμίας έως και δύο 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(2) 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εργάσιμων ημερών πριν την καταληκτική ημερομηνία ηλεκτρονικής υποβολής των αιτήσεων χρηματοδότησης, στη δρά</w:t>
      </w:r>
      <w:r w:rsidR="00F65F3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ση ήτοι έως και την </w:t>
      </w:r>
      <w:r w:rsidR="00F65F39" w:rsidRPr="00F65F3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12/04</w:t>
      </w:r>
      <w:r w:rsidRPr="00F65F3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/2017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 και ώρα </w:t>
      </w:r>
      <w:r w:rsidRPr="00F65F39">
        <w:rPr>
          <w:rFonts w:asciiTheme="minorHAnsi" w:eastAsia="Times New Roman" w:hAnsiTheme="minorHAnsi" w:cs="Times New Roman"/>
          <w:b/>
          <w:sz w:val="22"/>
          <w:szCs w:val="22"/>
          <w:lang w:eastAsia="el-GR"/>
        </w:rPr>
        <w:t>16:00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.</w:t>
      </w:r>
    </w:p>
    <w:p w:rsidR="005009F8" w:rsidRPr="00503BA9" w:rsidRDefault="005009F8" w:rsidP="00DC1744">
      <w:pPr>
        <w:pStyle w:val="Default"/>
        <w:numPr>
          <w:ilvl w:val="0"/>
          <w:numId w:val="2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Αναλυτικές πληροφορίες και ενημέρωση παρέχονται από τη Διεύθυνση Διεθνούς Ε&amp;Τ Συνεργασίας, Τμήμα 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 xml:space="preserve">Β’ 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Διμερών και Πολυ</w:t>
      </w:r>
      <w:r w:rsidR="000056D1"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μερών Διακρατικών Σχέσεων</w:t>
      </w:r>
      <w:r w:rsidRPr="00503BA9">
        <w:rPr>
          <w:rFonts w:asciiTheme="minorHAnsi" w:eastAsia="Times New Roman" w:hAnsiTheme="minorHAnsi" w:cs="Times New Roman"/>
          <w:sz w:val="22"/>
          <w:szCs w:val="22"/>
          <w:lang w:eastAsia="el-GR"/>
        </w:rPr>
        <w:t>, Μεσογείων 14-18, 11510 Αθήνα και συγκεκριμένα από τα παρακάτω στελέχη της ΓΓΕΤ:</w:t>
      </w:r>
    </w:p>
    <w:p w:rsidR="0068128E" w:rsidRPr="00503BA9" w:rsidRDefault="00EC49A5" w:rsidP="00DC1744">
      <w:pPr>
        <w:pStyle w:val="a5"/>
        <w:numPr>
          <w:ilvl w:val="0"/>
          <w:numId w:val="5"/>
        </w:numPr>
        <w:tabs>
          <w:tab w:val="left" w:pos="357"/>
        </w:tabs>
        <w:ind w:left="0" w:firstLine="0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Μαρία Ασημακοπούλου</w:t>
      </w:r>
      <w:r w:rsidR="0068128E" w:rsidRPr="00503BA9">
        <w:rPr>
          <w:rFonts w:eastAsia="Times New Roman" w:cs="Times New Roman"/>
          <w:lang w:eastAsia="el-GR"/>
        </w:rPr>
        <w:t>, Τμήμα Β’ Διμερών &amp; Π</w:t>
      </w:r>
      <w:r w:rsidR="000056D1" w:rsidRPr="00503BA9">
        <w:rPr>
          <w:rFonts w:eastAsia="Times New Roman" w:cs="Times New Roman"/>
          <w:lang w:eastAsia="el-GR"/>
        </w:rPr>
        <w:t>ολυμερών Διακρατικών Σχέσεων</w:t>
      </w:r>
      <w:r w:rsidR="0068128E" w:rsidRPr="00503BA9">
        <w:rPr>
          <w:rFonts w:eastAsia="Times New Roman" w:cs="Times New Roman"/>
          <w:lang w:eastAsia="el-GR"/>
        </w:rPr>
        <w:t>,</w:t>
      </w:r>
    </w:p>
    <w:p w:rsidR="0068128E" w:rsidRPr="00A559DC" w:rsidRDefault="0068128E" w:rsidP="00DC1744">
      <w:pPr>
        <w:tabs>
          <w:tab w:val="left" w:pos="357"/>
        </w:tabs>
        <w:rPr>
          <w:rFonts w:eastAsia="Times New Roman" w:cs="Times New Roman"/>
          <w:lang w:eastAsia="el-GR"/>
        </w:rPr>
      </w:pPr>
      <w:r w:rsidRPr="00503BA9">
        <w:rPr>
          <w:rFonts w:eastAsia="Times New Roman" w:cs="Times New Roman"/>
          <w:lang w:eastAsia="el-GR"/>
        </w:rPr>
        <w:t xml:space="preserve">τηλέφωνο </w:t>
      </w:r>
      <w:r w:rsidR="000056D1" w:rsidRPr="00503BA9">
        <w:rPr>
          <w:rFonts w:eastAsia="Times New Roman" w:cs="Times New Roman"/>
          <w:lang w:eastAsia="el-GR"/>
        </w:rPr>
        <w:t>(</w:t>
      </w:r>
      <w:r w:rsidRPr="00503BA9">
        <w:rPr>
          <w:rFonts w:eastAsia="Times New Roman" w:cs="Times New Roman"/>
          <w:lang w:eastAsia="el-GR"/>
        </w:rPr>
        <w:t>+30</w:t>
      </w:r>
      <w:r w:rsidR="000056D1" w:rsidRPr="00503BA9">
        <w:rPr>
          <w:rFonts w:eastAsia="Times New Roman" w:cs="Times New Roman"/>
          <w:lang w:eastAsia="el-GR"/>
        </w:rPr>
        <w:t>)</w:t>
      </w:r>
      <w:r w:rsidR="00EC49A5">
        <w:rPr>
          <w:rFonts w:eastAsia="Times New Roman" w:cs="Times New Roman"/>
          <w:lang w:eastAsia="el-GR"/>
        </w:rPr>
        <w:t xml:space="preserve"> 2107458096</w:t>
      </w:r>
      <w:r w:rsidRPr="00503BA9">
        <w:rPr>
          <w:rFonts w:eastAsia="Times New Roman" w:cs="Times New Roman"/>
          <w:lang w:eastAsia="el-GR"/>
        </w:rPr>
        <w:t xml:space="preserve">, email: </w:t>
      </w:r>
      <w:hyperlink r:id="rId6" w:history="1">
        <w:r w:rsidR="00EC49A5" w:rsidRPr="00825C67">
          <w:rPr>
            <w:rStyle w:val="-"/>
            <w:rFonts w:eastAsia="Times New Roman" w:cs="Times New Roman"/>
            <w:lang w:val="en-US" w:eastAsia="el-GR"/>
          </w:rPr>
          <w:t>masi</w:t>
        </w:r>
        <w:r w:rsidR="00EC49A5" w:rsidRPr="00825C67">
          <w:rPr>
            <w:rStyle w:val="-"/>
            <w:rFonts w:eastAsia="Times New Roman" w:cs="Times New Roman"/>
            <w:lang w:eastAsia="el-GR"/>
          </w:rPr>
          <w:t>@gsrt.gr</w:t>
        </w:r>
      </w:hyperlink>
      <w:r w:rsidR="00A559DC">
        <w:rPr>
          <w:rFonts w:eastAsia="Times New Roman" w:cs="Times New Roman"/>
          <w:lang w:eastAsia="el-GR"/>
        </w:rPr>
        <w:t>.</w:t>
      </w:r>
    </w:p>
    <w:p w:rsidR="0068128E" w:rsidRPr="00503BA9" w:rsidRDefault="0068128E" w:rsidP="00DC1744">
      <w:pPr>
        <w:pStyle w:val="a5"/>
        <w:numPr>
          <w:ilvl w:val="0"/>
          <w:numId w:val="5"/>
        </w:numPr>
        <w:tabs>
          <w:tab w:val="left" w:pos="357"/>
        </w:tabs>
        <w:ind w:left="0" w:firstLine="0"/>
        <w:rPr>
          <w:rFonts w:eastAsia="Times New Roman" w:cs="Times New Roman"/>
          <w:lang w:eastAsia="el-GR"/>
        </w:rPr>
      </w:pPr>
      <w:r w:rsidRPr="00503BA9">
        <w:rPr>
          <w:rFonts w:eastAsia="Times New Roman" w:cs="Times New Roman"/>
          <w:lang w:eastAsia="el-GR"/>
        </w:rPr>
        <w:t>Γεωργία Κρανά, Τμήμα Β’ Διμερών &amp; Π</w:t>
      </w:r>
      <w:r w:rsidR="000056D1" w:rsidRPr="00503BA9">
        <w:rPr>
          <w:rFonts w:eastAsia="Times New Roman" w:cs="Times New Roman"/>
          <w:lang w:eastAsia="el-GR"/>
        </w:rPr>
        <w:t>ολυμερών Διακρατικών Σχέσεων</w:t>
      </w:r>
      <w:r w:rsidRPr="00503BA9">
        <w:rPr>
          <w:rFonts w:eastAsia="Times New Roman" w:cs="Times New Roman"/>
          <w:lang w:eastAsia="el-GR"/>
        </w:rPr>
        <w:t>,</w:t>
      </w:r>
    </w:p>
    <w:p w:rsidR="0068128E" w:rsidRPr="00503BA9" w:rsidRDefault="000056D1" w:rsidP="00DC1744">
      <w:pPr>
        <w:tabs>
          <w:tab w:val="left" w:pos="357"/>
        </w:tabs>
      </w:pPr>
      <w:r w:rsidRPr="00503BA9">
        <w:rPr>
          <w:rFonts w:eastAsia="Times New Roman" w:cs="Times New Roman"/>
          <w:lang w:eastAsia="el-GR"/>
        </w:rPr>
        <w:t>τηλέφωνο (+30) 210</w:t>
      </w:r>
      <w:r w:rsidR="0068128E" w:rsidRPr="00503BA9">
        <w:rPr>
          <w:rFonts w:eastAsia="Times New Roman" w:cs="Times New Roman"/>
          <w:lang w:eastAsia="el-GR"/>
        </w:rPr>
        <w:t xml:space="preserve">7458099, email: </w:t>
      </w:r>
      <w:hyperlink r:id="rId7" w:history="1">
        <w:r w:rsidR="0068128E" w:rsidRPr="00503BA9">
          <w:rPr>
            <w:rStyle w:val="-"/>
            <w:rFonts w:eastAsia="Times New Roman" w:cs="Times New Roman"/>
            <w:lang w:eastAsia="el-GR"/>
          </w:rPr>
          <w:t>gkr@gsrt.gr</w:t>
        </w:r>
      </w:hyperlink>
      <w:r w:rsidR="00E749B7" w:rsidRPr="00503BA9">
        <w:t>.</w:t>
      </w:r>
    </w:p>
    <w:p w:rsidR="00E749B7" w:rsidRPr="00503BA9" w:rsidRDefault="00E749B7" w:rsidP="00DC1744">
      <w:pPr>
        <w:tabs>
          <w:tab w:val="left" w:pos="357"/>
        </w:tabs>
        <w:rPr>
          <w:rFonts w:eastAsia="Times New Roman" w:cs="Times New Roman"/>
          <w:lang w:eastAsia="el-GR"/>
        </w:rPr>
      </w:pPr>
    </w:p>
    <w:p w:rsidR="00EC49A5" w:rsidRPr="001F2414" w:rsidRDefault="00EC49A5" w:rsidP="00EC49A5">
      <w:pPr>
        <w:pStyle w:val="Default"/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u w:val="single"/>
          <w:lang w:eastAsia="el-GR"/>
        </w:rPr>
      </w:pPr>
      <w:r w:rsidRPr="001F2414">
        <w:rPr>
          <w:rFonts w:asciiTheme="minorHAnsi" w:eastAsia="Times New Roman" w:hAnsiTheme="minorHAnsi" w:cs="Times New Roman"/>
          <w:sz w:val="22"/>
          <w:szCs w:val="22"/>
          <w:u w:val="single"/>
          <w:lang w:eastAsia="el-GR"/>
        </w:rPr>
        <w:t>Συνημμένα αρχεία:</w:t>
      </w:r>
    </w:p>
    <w:p w:rsidR="00EC49A5" w:rsidRDefault="00EC37ED" w:rsidP="00EC49A5">
      <w:pPr>
        <w:pStyle w:val="Default"/>
        <w:numPr>
          <w:ilvl w:val="0"/>
          <w:numId w:val="13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hyperlink r:id="rId8" w:history="1">
        <w:r w:rsidR="00EC49A5" w:rsidRPr="00EC37ED">
          <w:rPr>
            <w:rStyle w:val="-"/>
            <w:rFonts w:asciiTheme="minorHAnsi" w:eastAsia="Times New Roman" w:hAnsiTheme="minorHAnsi" w:cs="Times New Roman"/>
            <w:sz w:val="22"/>
            <w:szCs w:val="22"/>
            <w:lang w:eastAsia="el-GR"/>
          </w:rPr>
          <w:t>Απόφαση Πρόσκλησης</w:t>
        </w:r>
      </w:hyperlink>
    </w:p>
    <w:p w:rsidR="00EC49A5" w:rsidRDefault="00EC37ED" w:rsidP="00EC49A5">
      <w:pPr>
        <w:pStyle w:val="Default"/>
        <w:numPr>
          <w:ilvl w:val="0"/>
          <w:numId w:val="13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hyperlink r:id="rId9" w:history="1">
        <w:r w:rsidR="00EC49A5" w:rsidRPr="00EC37ED">
          <w:rPr>
            <w:rStyle w:val="-"/>
            <w:rFonts w:asciiTheme="minorHAnsi" w:eastAsia="Times New Roman" w:hAnsiTheme="minorHAnsi" w:cs="Times New Roman"/>
            <w:sz w:val="22"/>
            <w:szCs w:val="22"/>
            <w:lang w:eastAsia="el-GR"/>
          </w:rPr>
          <w:t>Περίληψη της Απόφασης στην αγγλική γλώσσα</w:t>
        </w:r>
      </w:hyperlink>
    </w:p>
    <w:p w:rsidR="00EC49A5" w:rsidRPr="00EC49A5" w:rsidRDefault="00EC37ED" w:rsidP="00EC49A5">
      <w:pPr>
        <w:pStyle w:val="Default"/>
        <w:numPr>
          <w:ilvl w:val="0"/>
          <w:numId w:val="13"/>
        </w:numPr>
        <w:tabs>
          <w:tab w:val="left" w:pos="357"/>
        </w:tabs>
        <w:rPr>
          <w:rFonts w:asciiTheme="minorHAnsi" w:eastAsia="Times New Roman" w:hAnsiTheme="minorHAnsi" w:cs="Times New Roman"/>
          <w:sz w:val="22"/>
          <w:szCs w:val="22"/>
          <w:lang w:eastAsia="el-GR"/>
        </w:rPr>
      </w:pPr>
      <w:hyperlink r:id="rId10" w:history="1">
        <w:r w:rsidR="00EC49A5" w:rsidRPr="00EC37ED">
          <w:rPr>
            <w:rStyle w:val="-"/>
            <w:rFonts w:asciiTheme="minorHAnsi" w:eastAsia="Times New Roman" w:hAnsiTheme="minorHAnsi" w:cs="Times New Roman"/>
            <w:sz w:val="22"/>
            <w:szCs w:val="22"/>
            <w:lang w:eastAsia="el-GR"/>
          </w:rPr>
          <w:t>Επεξήγηση δεικτών</w:t>
        </w:r>
      </w:hyperlink>
      <w:r w:rsidR="00A559DC">
        <w:rPr>
          <w:rFonts w:asciiTheme="minorHAnsi" w:eastAsia="Times New Roman" w:hAnsiTheme="minorHAnsi" w:cs="Times New Roman"/>
          <w:sz w:val="22"/>
          <w:szCs w:val="22"/>
          <w:lang w:eastAsia="el-GR"/>
        </w:rPr>
        <w:t>.</w:t>
      </w:r>
    </w:p>
    <w:sectPr w:rsidR="00EC49A5" w:rsidRPr="00EC49A5" w:rsidSect="00281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8FCD72"/>
    <w:multiLevelType w:val="hybridMultilevel"/>
    <w:tmpl w:val="FE62C8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03016"/>
    <w:multiLevelType w:val="hybridMultilevel"/>
    <w:tmpl w:val="87FC408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E3C70"/>
    <w:multiLevelType w:val="hybridMultilevel"/>
    <w:tmpl w:val="95681D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F33BC3"/>
    <w:multiLevelType w:val="hybridMultilevel"/>
    <w:tmpl w:val="A2B2037E"/>
    <w:lvl w:ilvl="0" w:tplc="FFFFFFFF">
      <w:start w:val="1"/>
      <w:numFmt w:val="decimal"/>
      <w:lvlText w:val=""/>
      <w:lvlJc w:val="left"/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C99E"/>
    <w:multiLevelType w:val="hybridMultilevel"/>
    <w:tmpl w:val="AF4882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090D99"/>
    <w:multiLevelType w:val="hybridMultilevel"/>
    <w:tmpl w:val="5EC1F9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AA0154"/>
    <w:multiLevelType w:val="hybridMultilevel"/>
    <w:tmpl w:val="622EE87E"/>
    <w:lvl w:ilvl="0" w:tplc="0194E4C0">
      <w:numFmt w:val="bullet"/>
      <w:lvlText w:val="•"/>
      <w:lvlJc w:val="left"/>
      <w:pPr>
        <w:ind w:left="1434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E9370FC"/>
    <w:multiLevelType w:val="hybridMultilevel"/>
    <w:tmpl w:val="71AEA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714D1"/>
    <w:multiLevelType w:val="hybridMultilevel"/>
    <w:tmpl w:val="42DC785A"/>
    <w:lvl w:ilvl="0" w:tplc="0408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610B25F0"/>
    <w:multiLevelType w:val="hybridMultilevel"/>
    <w:tmpl w:val="A3322E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592231"/>
    <w:multiLevelType w:val="hybridMultilevel"/>
    <w:tmpl w:val="F3664BE2"/>
    <w:lvl w:ilvl="0" w:tplc="0408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1">
    <w:nsid w:val="79686744"/>
    <w:multiLevelType w:val="hybridMultilevel"/>
    <w:tmpl w:val="F9D2A080"/>
    <w:lvl w:ilvl="0" w:tplc="FA2062F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43C1D"/>
    <w:multiLevelType w:val="hybridMultilevel"/>
    <w:tmpl w:val="28DC0A7C"/>
    <w:lvl w:ilvl="0" w:tplc="06C63C2C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009F8"/>
    <w:rsid w:val="000056D1"/>
    <w:rsid w:val="000338C5"/>
    <w:rsid w:val="000D1832"/>
    <w:rsid w:val="000D3713"/>
    <w:rsid w:val="000E5970"/>
    <w:rsid w:val="001B0011"/>
    <w:rsid w:val="001D49CE"/>
    <w:rsid w:val="001F2414"/>
    <w:rsid w:val="00204369"/>
    <w:rsid w:val="00281F91"/>
    <w:rsid w:val="0029323C"/>
    <w:rsid w:val="002B5554"/>
    <w:rsid w:val="002F429A"/>
    <w:rsid w:val="00364142"/>
    <w:rsid w:val="003E75E4"/>
    <w:rsid w:val="00420FB7"/>
    <w:rsid w:val="00443A49"/>
    <w:rsid w:val="005009F8"/>
    <w:rsid w:val="00503BA9"/>
    <w:rsid w:val="00576169"/>
    <w:rsid w:val="005F40DE"/>
    <w:rsid w:val="00614F15"/>
    <w:rsid w:val="0068128E"/>
    <w:rsid w:val="0068192F"/>
    <w:rsid w:val="006C563C"/>
    <w:rsid w:val="007E679B"/>
    <w:rsid w:val="00895B5C"/>
    <w:rsid w:val="008A7D09"/>
    <w:rsid w:val="008D264A"/>
    <w:rsid w:val="009313A1"/>
    <w:rsid w:val="009A02D9"/>
    <w:rsid w:val="00A0154D"/>
    <w:rsid w:val="00A559DC"/>
    <w:rsid w:val="00B73BE3"/>
    <w:rsid w:val="00C21A31"/>
    <w:rsid w:val="00C327F0"/>
    <w:rsid w:val="00D67B2D"/>
    <w:rsid w:val="00D93C42"/>
    <w:rsid w:val="00DC1744"/>
    <w:rsid w:val="00DD7917"/>
    <w:rsid w:val="00E749B7"/>
    <w:rsid w:val="00E963A8"/>
    <w:rsid w:val="00EC37ED"/>
    <w:rsid w:val="00EC49A5"/>
    <w:rsid w:val="00ED774E"/>
    <w:rsid w:val="00F65F39"/>
    <w:rsid w:val="00F75C32"/>
    <w:rsid w:val="00FA51AF"/>
    <w:rsid w:val="00FB5980"/>
    <w:rsid w:val="00FC6B7B"/>
    <w:rsid w:val="00FD49AC"/>
    <w:rsid w:val="00FE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0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009F8"/>
    <w:rPr>
      <w:b/>
      <w:bCs/>
    </w:rPr>
  </w:style>
  <w:style w:type="character" w:styleId="-">
    <w:name w:val="Hyperlink"/>
    <w:basedOn w:val="a0"/>
    <w:uiPriority w:val="99"/>
    <w:unhideWhenUsed/>
    <w:rsid w:val="005009F8"/>
    <w:rPr>
      <w:color w:val="0000FF"/>
      <w:u w:val="single"/>
    </w:rPr>
  </w:style>
  <w:style w:type="character" w:styleId="a4">
    <w:name w:val="Emphasis"/>
    <w:basedOn w:val="a0"/>
    <w:uiPriority w:val="20"/>
    <w:qFormat/>
    <w:rsid w:val="005009F8"/>
    <w:rPr>
      <w:i/>
      <w:iCs/>
    </w:rPr>
  </w:style>
  <w:style w:type="paragraph" w:customStyle="1" w:styleId="Default">
    <w:name w:val="Default"/>
    <w:rsid w:val="005009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8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ofasi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r@gsr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i@gsrt.g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pendyseis.gr/mis" TargetMode="External"/><Relationship Id="rId10" Type="http://schemas.openxmlformats.org/officeDocument/2006/relationships/hyperlink" Target="output%20indicator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reece-Israel%20Call%20for%20Proposals%202017-abridge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grigora.o</dc:creator>
  <cp:keywords/>
  <dc:description/>
  <cp:lastModifiedBy>mapapaioannou</cp:lastModifiedBy>
  <cp:revision>3</cp:revision>
  <dcterms:created xsi:type="dcterms:W3CDTF">2017-01-18T15:16:00Z</dcterms:created>
  <dcterms:modified xsi:type="dcterms:W3CDTF">2017-01-19T11:30:00Z</dcterms:modified>
</cp:coreProperties>
</file>